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02C7" w14:textId="77777777" w:rsidR="003979A7" w:rsidRDefault="003979A7" w:rsidP="0036237F">
      <w:pPr>
        <w:spacing w:line="480" w:lineRule="auto"/>
        <w:rPr>
          <w:rFonts w:ascii="Times New Roman" w:hAnsi="Times New Roman" w:cs="Times New Roman"/>
          <w:b/>
          <w:sz w:val="28"/>
          <w:szCs w:val="24"/>
        </w:rPr>
      </w:pPr>
      <w:r>
        <w:rPr>
          <w:rFonts w:ascii="Times New Roman" w:hAnsi="Times New Roman" w:cs="Times New Roman"/>
          <w:b/>
          <w:sz w:val="28"/>
          <w:szCs w:val="24"/>
        </w:rPr>
        <w:t>PART A</w:t>
      </w:r>
    </w:p>
    <w:p w14:paraId="3F105D11" w14:textId="77777777" w:rsidR="00B440FA" w:rsidRPr="0036237F" w:rsidRDefault="00BD7CB3" w:rsidP="0036237F">
      <w:pPr>
        <w:pStyle w:val="ListParagraph"/>
        <w:numPr>
          <w:ilvl w:val="0"/>
          <w:numId w:val="2"/>
        </w:numPr>
        <w:spacing w:line="480" w:lineRule="auto"/>
        <w:rPr>
          <w:rFonts w:ascii="Times New Roman" w:hAnsi="Times New Roman" w:cs="Times New Roman"/>
          <w:b/>
          <w:sz w:val="28"/>
          <w:szCs w:val="24"/>
        </w:rPr>
      </w:pPr>
      <w:r w:rsidRPr="0036237F">
        <w:rPr>
          <w:rFonts w:ascii="Times New Roman" w:hAnsi="Times New Roman" w:cs="Times New Roman"/>
          <w:b/>
          <w:sz w:val="28"/>
          <w:szCs w:val="24"/>
        </w:rPr>
        <w:t xml:space="preserve">Four Elements of Negligence </w:t>
      </w:r>
    </w:p>
    <w:p w14:paraId="71CF27AB" w14:textId="77777777" w:rsidR="00BD7CB3" w:rsidRDefault="00BD7CB3" w:rsidP="00BD7CB3">
      <w:pPr>
        <w:spacing w:line="480" w:lineRule="auto"/>
        <w:rPr>
          <w:rFonts w:ascii="Times New Roman" w:hAnsi="Times New Roman" w:cs="Times New Roman"/>
          <w:sz w:val="24"/>
          <w:szCs w:val="24"/>
        </w:rPr>
      </w:pPr>
      <w:r>
        <w:rPr>
          <w:rFonts w:ascii="Times New Roman" w:hAnsi="Times New Roman" w:cs="Times New Roman"/>
          <w:sz w:val="24"/>
          <w:szCs w:val="24"/>
        </w:rPr>
        <w:t xml:space="preserve">Negligence is the broadest type of tort </w:t>
      </w:r>
      <w:r w:rsidR="00221E1E">
        <w:rPr>
          <w:rFonts w:ascii="Times New Roman" w:hAnsi="Times New Roman" w:cs="Times New Roman"/>
          <w:sz w:val="24"/>
          <w:szCs w:val="24"/>
        </w:rPr>
        <w:t xml:space="preserve">which means </w:t>
      </w:r>
      <w:r w:rsidR="00221E1E" w:rsidRPr="00221E1E">
        <w:rPr>
          <w:rFonts w:ascii="Times New Roman" w:hAnsi="Times New Roman" w:cs="Times New Roman"/>
          <w:sz w:val="24"/>
          <w:szCs w:val="24"/>
        </w:rPr>
        <w:t>lack of general ca</w:t>
      </w:r>
      <w:r w:rsidR="00221E1E">
        <w:rPr>
          <w:rFonts w:ascii="Times New Roman" w:hAnsi="Times New Roman" w:cs="Times New Roman"/>
          <w:sz w:val="24"/>
          <w:szCs w:val="24"/>
        </w:rPr>
        <w:t>re, measured against the</w:t>
      </w:r>
      <w:r w:rsidR="00221E1E" w:rsidRPr="00221E1E">
        <w:rPr>
          <w:rFonts w:ascii="Times New Roman" w:hAnsi="Times New Roman" w:cs="Times New Roman"/>
          <w:sz w:val="24"/>
          <w:szCs w:val="24"/>
        </w:rPr>
        <w:t xml:space="preserve"> standard</w:t>
      </w:r>
      <w:r w:rsidR="00221E1E">
        <w:rPr>
          <w:rFonts w:ascii="Times New Roman" w:hAnsi="Times New Roman" w:cs="Times New Roman"/>
          <w:sz w:val="24"/>
          <w:szCs w:val="24"/>
        </w:rPr>
        <w:t xml:space="preserve"> </w:t>
      </w:r>
      <w:r w:rsidR="00221E1E" w:rsidRPr="00221E1E">
        <w:rPr>
          <w:rFonts w:ascii="Times New Roman" w:hAnsi="Times New Roman" w:cs="Times New Roman"/>
          <w:sz w:val="24"/>
          <w:szCs w:val="24"/>
        </w:rPr>
        <w:t>imposed by law</w:t>
      </w:r>
      <w:r w:rsidR="00221E1E">
        <w:rPr>
          <w:rStyle w:val="FootnoteReference"/>
          <w:rFonts w:ascii="Times New Roman" w:hAnsi="Times New Roman" w:cs="Times New Roman"/>
          <w:sz w:val="24"/>
          <w:szCs w:val="24"/>
        </w:rPr>
        <w:footnoteReference w:id="1"/>
      </w:r>
      <w:r w:rsidR="00221E1E">
        <w:rPr>
          <w:rFonts w:ascii="Times New Roman" w:hAnsi="Times New Roman" w:cs="Times New Roman"/>
          <w:sz w:val="24"/>
          <w:szCs w:val="24"/>
        </w:rPr>
        <w:t>. The defendant if is short of the required standards will be held liable for the damage caused on the plaintiff.</w:t>
      </w:r>
    </w:p>
    <w:p w14:paraId="3331CACD" w14:textId="77777777" w:rsidR="00221E1E" w:rsidRDefault="00C72F1E" w:rsidP="00BD7CB3">
      <w:pPr>
        <w:spacing w:line="480" w:lineRule="auto"/>
        <w:rPr>
          <w:rFonts w:ascii="Times New Roman" w:hAnsi="Times New Roman" w:cs="Times New Roman"/>
          <w:sz w:val="24"/>
          <w:szCs w:val="24"/>
        </w:rPr>
      </w:pPr>
      <w:r>
        <w:rPr>
          <w:rFonts w:ascii="Times New Roman" w:hAnsi="Times New Roman" w:cs="Times New Roman"/>
          <w:sz w:val="24"/>
          <w:szCs w:val="24"/>
        </w:rPr>
        <w:t xml:space="preserve">Negligence is characterized by four elements, which are: </w:t>
      </w:r>
      <w:r w:rsidR="00D21688">
        <w:rPr>
          <w:rFonts w:ascii="Times New Roman" w:hAnsi="Times New Roman" w:cs="Times New Roman"/>
          <w:sz w:val="24"/>
          <w:szCs w:val="24"/>
        </w:rPr>
        <w:t>Duty of care, Breach of duty of care, causation and damages caused or incurred</w:t>
      </w:r>
      <w:r w:rsidR="00E0003B">
        <w:rPr>
          <w:rStyle w:val="FootnoteReference"/>
          <w:rFonts w:ascii="Times New Roman" w:hAnsi="Times New Roman" w:cs="Times New Roman"/>
          <w:sz w:val="24"/>
          <w:szCs w:val="24"/>
        </w:rPr>
        <w:footnoteReference w:id="2"/>
      </w:r>
      <w:r w:rsidR="00D21688">
        <w:rPr>
          <w:rFonts w:ascii="Times New Roman" w:hAnsi="Times New Roman" w:cs="Times New Roman"/>
          <w:sz w:val="24"/>
          <w:szCs w:val="24"/>
        </w:rPr>
        <w:t>.</w:t>
      </w:r>
    </w:p>
    <w:p w14:paraId="183DE1BB" w14:textId="77777777" w:rsidR="00D21688" w:rsidRDefault="00D21688" w:rsidP="00D2168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Duty of care</w:t>
      </w:r>
    </w:p>
    <w:p w14:paraId="190992CF" w14:textId="77777777" w:rsidR="00D21688" w:rsidRDefault="00D21688" w:rsidP="00D21688">
      <w:pPr>
        <w:spacing w:line="480" w:lineRule="auto"/>
        <w:rPr>
          <w:rFonts w:ascii="Times New Roman" w:hAnsi="Times New Roman" w:cs="Times New Roman"/>
          <w:sz w:val="24"/>
          <w:szCs w:val="24"/>
        </w:rPr>
      </w:pPr>
      <w:r>
        <w:rPr>
          <w:rFonts w:ascii="Times New Roman" w:hAnsi="Times New Roman" w:cs="Times New Roman"/>
          <w:sz w:val="24"/>
          <w:szCs w:val="24"/>
        </w:rPr>
        <w:t xml:space="preserve">Duty of care refers to responsibility </w:t>
      </w:r>
      <w:r w:rsidR="00E0003B">
        <w:rPr>
          <w:rFonts w:ascii="Times New Roman" w:hAnsi="Times New Roman" w:cs="Times New Roman"/>
          <w:sz w:val="24"/>
          <w:szCs w:val="24"/>
        </w:rPr>
        <w:t xml:space="preserve">or legal obligation </w:t>
      </w:r>
      <w:r>
        <w:rPr>
          <w:rFonts w:ascii="Times New Roman" w:hAnsi="Times New Roman" w:cs="Times New Roman"/>
          <w:sz w:val="24"/>
          <w:szCs w:val="24"/>
        </w:rPr>
        <w:t xml:space="preserve">befalling a person </w:t>
      </w:r>
      <w:r w:rsidR="00E0003B">
        <w:rPr>
          <w:rFonts w:ascii="Times New Roman" w:hAnsi="Times New Roman" w:cs="Times New Roman"/>
          <w:sz w:val="24"/>
          <w:szCs w:val="24"/>
        </w:rPr>
        <w:t>requiring of him to act in a certain way towards others as required by the law. Where such a person fails to adhere to the set standard, they are held responsible in accordance with the law.</w:t>
      </w:r>
      <w:r w:rsidR="00EC6961">
        <w:rPr>
          <w:rFonts w:ascii="Times New Roman" w:hAnsi="Times New Roman" w:cs="Times New Roman"/>
          <w:sz w:val="24"/>
          <w:szCs w:val="24"/>
        </w:rPr>
        <w:t xml:space="preserve"> A doctor is supposed to accord a patient safe, high and reasonable care while in hospital.</w:t>
      </w:r>
    </w:p>
    <w:p w14:paraId="1F51DACE" w14:textId="77777777" w:rsidR="00E0003B" w:rsidRDefault="00E0003B" w:rsidP="00E0003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Breach of duty of care</w:t>
      </w:r>
    </w:p>
    <w:p w14:paraId="2243CEE1" w14:textId="77777777" w:rsidR="00E0003B" w:rsidRDefault="00E0003B" w:rsidP="00E0003B">
      <w:pPr>
        <w:spacing w:line="480" w:lineRule="auto"/>
        <w:rPr>
          <w:rFonts w:ascii="Times New Roman" w:hAnsi="Times New Roman" w:cs="Times New Roman"/>
          <w:sz w:val="24"/>
          <w:szCs w:val="24"/>
        </w:rPr>
      </w:pPr>
      <w:r>
        <w:rPr>
          <w:rFonts w:ascii="Times New Roman" w:hAnsi="Times New Roman" w:cs="Times New Roman"/>
          <w:sz w:val="24"/>
          <w:szCs w:val="24"/>
        </w:rPr>
        <w:t>Where a party is legally bound to act in a certain way but fails to, they automatically breach the duty of care or obligations placed on them where it was reasonably foreseeable that such a breach or injury would occur.</w:t>
      </w:r>
      <w:r w:rsidR="00EC6961">
        <w:rPr>
          <w:rFonts w:ascii="Times New Roman" w:hAnsi="Times New Roman" w:cs="Times New Roman"/>
          <w:sz w:val="24"/>
          <w:szCs w:val="24"/>
        </w:rPr>
        <w:t xml:space="preserve"> Where a doctor gives a patient a wrong prescription of milk and in turn it affects the patient, the doctor will be in breach of a duty of care.</w:t>
      </w:r>
    </w:p>
    <w:p w14:paraId="1E645080" w14:textId="77777777" w:rsidR="00EC6961" w:rsidRDefault="00EC6961" w:rsidP="00E0003B">
      <w:pPr>
        <w:spacing w:line="480" w:lineRule="auto"/>
        <w:rPr>
          <w:rFonts w:ascii="Times New Roman" w:hAnsi="Times New Roman" w:cs="Times New Roman"/>
          <w:sz w:val="24"/>
          <w:szCs w:val="24"/>
        </w:rPr>
      </w:pPr>
    </w:p>
    <w:p w14:paraId="09711246" w14:textId="77777777" w:rsidR="00EC6961" w:rsidRPr="00E0003B" w:rsidRDefault="00EC6961" w:rsidP="00E0003B">
      <w:pPr>
        <w:spacing w:line="480" w:lineRule="auto"/>
        <w:rPr>
          <w:rFonts w:ascii="Times New Roman" w:hAnsi="Times New Roman" w:cs="Times New Roman"/>
          <w:sz w:val="24"/>
          <w:szCs w:val="24"/>
        </w:rPr>
      </w:pPr>
    </w:p>
    <w:p w14:paraId="51D6BDC0" w14:textId="77777777" w:rsidR="00E0003B" w:rsidRDefault="00E0003B" w:rsidP="00E0003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Causation</w:t>
      </w:r>
    </w:p>
    <w:p w14:paraId="363A630A" w14:textId="77777777" w:rsidR="0036237F" w:rsidRPr="00E0003B" w:rsidRDefault="00E0003B" w:rsidP="00E0003B">
      <w:pPr>
        <w:spacing w:line="480" w:lineRule="auto"/>
        <w:rPr>
          <w:rFonts w:ascii="Times New Roman" w:hAnsi="Times New Roman" w:cs="Times New Roman"/>
          <w:sz w:val="24"/>
          <w:szCs w:val="24"/>
        </w:rPr>
      </w:pPr>
      <w:r>
        <w:rPr>
          <w:rFonts w:ascii="Times New Roman" w:hAnsi="Times New Roman" w:cs="Times New Roman"/>
          <w:sz w:val="24"/>
          <w:szCs w:val="24"/>
        </w:rPr>
        <w:t>Majorly referred to as “but for”, causation refers to the connection of the actions of a defendant to the injury caused, such that, were it not for the actions of the defendant, such an injury would not have occurred. The plaintiff must prove this connection.</w:t>
      </w:r>
      <w:r w:rsidR="00EC6961">
        <w:rPr>
          <w:rFonts w:ascii="Times New Roman" w:hAnsi="Times New Roman" w:cs="Times New Roman"/>
          <w:sz w:val="24"/>
          <w:szCs w:val="24"/>
        </w:rPr>
        <w:t xml:space="preserve"> The patient should demonstrate that the aftermath of such negligence is wholly attributable to the doctor.</w:t>
      </w:r>
    </w:p>
    <w:p w14:paraId="78F64CDF" w14:textId="77777777" w:rsidR="00E0003B" w:rsidRDefault="00E0003B" w:rsidP="00E0003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Damages caused or incurred</w:t>
      </w:r>
    </w:p>
    <w:p w14:paraId="1BF009D7" w14:textId="77777777" w:rsidR="0036237F" w:rsidRPr="003979A7" w:rsidRDefault="0036237F" w:rsidP="00CE172A">
      <w:pPr>
        <w:spacing w:line="480" w:lineRule="auto"/>
        <w:rPr>
          <w:rFonts w:ascii="Times New Roman" w:hAnsi="Times New Roman" w:cs="Times New Roman"/>
          <w:sz w:val="24"/>
          <w:szCs w:val="24"/>
        </w:rPr>
      </w:pPr>
      <w:r>
        <w:rPr>
          <w:rFonts w:ascii="Times New Roman" w:hAnsi="Times New Roman" w:cs="Times New Roman"/>
          <w:sz w:val="24"/>
          <w:szCs w:val="24"/>
        </w:rPr>
        <w:t>Where the above elements are proved, the plaintiff must ultimately prove that damage was caused out of the actions of the defendant. This is because, at times, an injury might occur with no damages (</w:t>
      </w:r>
      <w:r w:rsidRPr="0036237F">
        <w:rPr>
          <w:rFonts w:ascii="Times New Roman" w:hAnsi="Times New Roman" w:cs="Times New Roman"/>
          <w:b/>
          <w:bCs/>
          <w:sz w:val="24"/>
          <w:szCs w:val="24"/>
        </w:rPr>
        <w:t>Injuria Sine damnum</w:t>
      </w:r>
      <w:r>
        <w:rPr>
          <w:rFonts w:ascii="Times New Roman" w:hAnsi="Times New Roman" w:cs="Times New Roman"/>
          <w:b/>
          <w:bCs/>
          <w:sz w:val="24"/>
          <w:szCs w:val="24"/>
        </w:rPr>
        <w:t xml:space="preserve">) </w:t>
      </w:r>
      <w:r>
        <w:rPr>
          <w:rFonts w:ascii="Times New Roman" w:hAnsi="Times New Roman" w:cs="Times New Roman"/>
          <w:sz w:val="24"/>
          <w:szCs w:val="24"/>
        </w:rPr>
        <w:t>and also damages might occur without any injury or infringement of rights (</w:t>
      </w:r>
      <w:r w:rsidRPr="0036237F">
        <w:rPr>
          <w:rFonts w:ascii="Times New Roman" w:hAnsi="Times New Roman" w:cs="Times New Roman"/>
          <w:b/>
          <w:sz w:val="24"/>
          <w:szCs w:val="24"/>
        </w:rPr>
        <w:t>Damnum Sine Injuria</w:t>
      </w:r>
      <w:r>
        <w:rPr>
          <w:rFonts w:ascii="Times New Roman" w:hAnsi="Times New Roman" w:cs="Times New Roman"/>
          <w:sz w:val="24"/>
          <w:szCs w:val="24"/>
        </w:rPr>
        <w:t>).</w:t>
      </w:r>
    </w:p>
    <w:p w14:paraId="62B63646" w14:textId="77777777" w:rsidR="00E0003B" w:rsidRPr="003979A7" w:rsidRDefault="0036237F" w:rsidP="0036237F">
      <w:pPr>
        <w:pStyle w:val="ListParagraph"/>
        <w:numPr>
          <w:ilvl w:val="0"/>
          <w:numId w:val="2"/>
        </w:numPr>
        <w:spacing w:line="480" w:lineRule="auto"/>
        <w:rPr>
          <w:rFonts w:ascii="Times New Roman" w:hAnsi="Times New Roman" w:cs="Times New Roman"/>
          <w:b/>
          <w:sz w:val="24"/>
          <w:szCs w:val="24"/>
        </w:rPr>
      </w:pPr>
      <w:r w:rsidRPr="003979A7">
        <w:rPr>
          <w:rFonts w:ascii="Times New Roman" w:hAnsi="Times New Roman" w:cs="Times New Roman"/>
          <w:b/>
          <w:sz w:val="24"/>
          <w:szCs w:val="24"/>
        </w:rPr>
        <w:t xml:space="preserve">Failure to file articles of incorporation </w:t>
      </w:r>
    </w:p>
    <w:p w14:paraId="034D0BFA" w14:textId="77777777" w:rsidR="0036237F" w:rsidRDefault="00BA12EF" w:rsidP="0036237F">
      <w:pPr>
        <w:spacing w:line="480" w:lineRule="auto"/>
        <w:rPr>
          <w:rFonts w:ascii="Times New Roman" w:hAnsi="Times New Roman" w:cs="Times New Roman"/>
          <w:sz w:val="24"/>
          <w:szCs w:val="24"/>
        </w:rPr>
      </w:pPr>
      <w:r>
        <w:rPr>
          <w:rFonts w:ascii="Times New Roman" w:hAnsi="Times New Roman" w:cs="Times New Roman"/>
          <w:sz w:val="24"/>
          <w:szCs w:val="24"/>
        </w:rPr>
        <w:t>Articles of incorporation refer</w:t>
      </w:r>
      <w:r w:rsidR="0036237F" w:rsidRPr="0036237F">
        <w:rPr>
          <w:rFonts w:ascii="Times New Roman" w:hAnsi="Times New Roman" w:cs="Times New Roman"/>
          <w:sz w:val="24"/>
          <w:szCs w:val="24"/>
        </w:rPr>
        <w:t xml:space="preserve"> to </w:t>
      </w:r>
      <w:r w:rsidR="0036237F">
        <w:rPr>
          <w:rFonts w:ascii="Times New Roman" w:hAnsi="Times New Roman" w:cs="Times New Roman"/>
          <w:sz w:val="24"/>
          <w:szCs w:val="24"/>
        </w:rPr>
        <w:t xml:space="preserve">the necessary formal documents and files filed with </w:t>
      </w:r>
      <w:r>
        <w:rPr>
          <w:rFonts w:ascii="Times New Roman" w:hAnsi="Times New Roman" w:cs="Times New Roman"/>
          <w:sz w:val="24"/>
          <w:szCs w:val="24"/>
        </w:rPr>
        <w:t xml:space="preserve">the </w:t>
      </w:r>
      <w:r w:rsidRPr="00BA12EF">
        <w:rPr>
          <w:rFonts w:ascii="Times New Roman" w:hAnsi="Times New Roman" w:cs="Times New Roman"/>
          <w:sz w:val="24"/>
          <w:szCs w:val="24"/>
        </w:rPr>
        <w:t>Secretary of State or company registrar where the company chooses to operate</w:t>
      </w:r>
      <w:r w:rsidR="00604FDB">
        <w:rPr>
          <w:rFonts w:ascii="Times New Roman" w:hAnsi="Times New Roman" w:cs="Times New Roman"/>
          <w:sz w:val="24"/>
          <w:szCs w:val="24"/>
        </w:rPr>
        <w:t xml:space="preserve"> to legally create a corporation, organization or company.</w:t>
      </w:r>
      <w:r>
        <w:rPr>
          <w:rFonts w:ascii="Times New Roman" w:hAnsi="Times New Roman" w:cs="Times New Roman"/>
          <w:sz w:val="24"/>
          <w:szCs w:val="24"/>
        </w:rPr>
        <w:t xml:space="preserve"> Articles of incorporation entail some of the following important features: name of the corporation, </w:t>
      </w:r>
      <w:r w:rsidRPr="00BA12EF">
        <w:rPr>
          <w:rFonts w:ascii="Times New Roman" w:hAnsi="Times New Roman" w:cs="Times New Roman"/>
          <w:sz w:val="24"/>
          <w:szCs w:val="24"/>
        </w:rPr>
        <w:t>type of corporate structure</w:t>
      </w:r>
      <w:r>
        <w:rPr>
          <w:rFonts w:ascii="Times New Roman" w:hAnsi="Times New Roman" w:cs="Times New Roman"/>
          <w:sz w:val="24"/>
          <w:szCs w:val="24"/>
        </w:rPr>
        <w:t>,</w:t>
      </w:r>
      <w:r w:rsidRPr="00BA12EF">
        <w:rPr>
          <w:rFonts w:ascii="Times New Roman" w:hAnsi="Times New Roman" w:cs="Times New Roman"/>
          <w:sz w:val="24"/>
          <w:szCs w:val="24"/>
        </w:rPr>
        <w:t xml:space="preserve"> registered agent, </w:t>
      </w:r>
      <w:r>
        <w:rPr>
          <w:rFonts w:ascii="Times New Roman" w:hAnsi="Times New Roman" w:cs="Times New Roman"/>
          <w:sz w:val="24"/>
          <w:szCs w:val="24"/>
        </w:rPr>
        <w:t>number of authorized shares,</w:t>
      </w:r>
      <w:r w:rsidRPr="00BA12EF">
        <w:rPr>
          <w:rFonts w:ascii="Times New Roman" w:hAnsi="Times New Roman" w:cs="Times New Roman"/>
          <w:sz w:val="24"/>
          <w:szCs w:val="24"/>
        </w:rPr>
        <w:t xml:space="preserve"> names and signatures of the owners of the corporation.</w:t>
      </w:r>
      <w:r>
        <w:rPr>
          <w:rFonts w:ascii="Times New Roman" w:hAnsi="Times New Roman" w:cs="Times New Roman"/>
          <w:sz w:val="24"/>
          <w:szCs w:val="24"/>
        </w:rPr>
        <w:t xml:space="preserve"> </w:t>
      </w:r>
    </w:p>
    <w:p w14:paraId="3DD1228E" w14:textId="77777777" w:rsidR="00BA12EF" w:rsidRDefault="00BA12EF" w:rsidP="0036237F">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after filling the articles of incorporation that </w:t>
      </w:r>
      <w:r w:rsidR="004123D9">
        <w:rPr>
          <w:rFonts w:ascii="Times New Roman" w:hAnsi="Times New Roman" w:cs="Times New Roman"/>
          <w:sz w:val="24"/>
          <w:szCs w:val="24"/>
        </w:rPr>
        <w:t xml:space="preserve">the </w:t>
      </w:r>
      <w:r w:rsidRPr="00BA12EF">
        <w:rPr>
          <w:rFonts w:ascii="Times New Roman" w:hAnsi="Times New Roman" w:cs="Times New Roman"/>
          <w:sz w:val="24"/>
          <w:szCs w:val="24"/>
        </w:rPr>
        <w:t>corporation</w:t>
      </w:r>
      <w:r w:rsidR="004123D9">
        <w:rPr>
          <w:rFonts w:ascii="Times New Roman" w:hAnsi="Times New Roman" w:cs="Times New Roman"/>
          <w:sz w:val="24"/>
          <w:szCs w:val="24"/>
        </w:rPr>
        <w:t xml:space="preserve"> can</w:t>
      </w:r>
      <w:r w:rsidRPr="00BA12EF">
        <w:rPr>
          <w:rFonts w:ascii="Times New Roman" w:hAnsi="Times New Roman" w:cs="Times New Roman"/>
          <w:sz w:val="24"/>
          <w:szCs w:val="24"/>
        </w:rPr>
        <w:t xml:space="preserve"> apply for tax IDs, obtain business license</w:t>
      </w:r>
      <w:r w:rsidR="004123D9">
        <w:rPr>
          <w:rFonts w:ascii="Times New Roman" w:hAnsi="Times New Roman" w:cs="Times New Roman"/>
          <w:sz w:val="24"/>
          <w:szCs w:val="24"/>
        </w:rPr>
        <w:t>s, sign contracts, and</w:t>
      </w:r>
      <w:r w:rsidRPr="00BA12EF">
        <w:rPr>
          <w:rFonts w:ascii="Times New Roman" w:hAnsi="Times New Roman" w:cs="Times New Roman"/>
          <w:sz w:val="24"/>
          <w:szCs w:val="24"/>
        </w:rPr>
        <w:t xml:space="preserve"> conduct business.</w:t>
      </w:r>
      <w:r w:rsidR="004123D9">
        <w:rPr>
          <w:rFonts w:ascii="Times New Roman" w:hAnsi="Times New Roman" w:cs="Times New Roman"/>
          <w:sz w:val="24"/>
          <w:szCs w:val="24"/>
        </w:rPr>
        <w:t xml:space="preserve"> Hence, Bob &amp; Shirley’s restaurant cannot be regarded as a corporation because they have not been formally recognized.</w:t>
      </w:r>
    </w:p>
    <w:p w14:paraId="1B2765ED" w14:textId="77777777" w:rsidR="004123D9" w:rsidRDefault="004123D9" w:rsidP="0036237F">
      <w:pPr>
        <w:spacing w:line="480" w:lineRule="auto"/>
        <w:rPr>
          <w:rFonts w:ascii="Times New Roman" w:hAnsi="Times New Roman" w:cs="Times New Roman"/>
          <w:sz w:val="24"/>
          <w:szCs w:val="24"/>
        </w:rPr>
      </w:pPr>
    </w:p>
    <w:p w14:paraId="517DF263" w14:textId="77777777" w:rsidR="004123D9" w:rsidRDefault="004123D9" w:rsidP="0036237F">
      <w:pPr>
        <w:spacing w:line="480" w:lineRule="auto"/>
        <w:rPr>
          <w:rFonts w:ascii="Times New Roman" w:hAnsi="Times New Roman" w:cs="Times New Roman"/>
          <w:sz w:val="24"/>
          <w:szCs w:val="24"/>
        </w:rPr>
      </w:pPr>
    </w:p>
    <w:p w14:paraId="67C8B021" w14:textId="77777777" w:rsidR="00604FDB" w:rsidRDefault="003979A7" w:rsidP="00604FDB">
      <w:pPr>
        <w:pStyle w:val="ListParagraph"/>
        <w:numPr>
          <w:ilvl w:val="0"/>
          <w:numId w:val="2"/>
        </w:numPr>
        <w:spacing w:line="480" w:lineRule="auto"/>
        <w:rPr>
          <w:rFonts w:ascii="Times New Roman" w:hAnsi="Times New Roman" w:cs="Times New Roman"/>
          <w:b/>
          <w:sz w:val="24"/>
          <w:szCs w:val="24"/>
        </w:rPr>
      </w:pPr>
      <w:r w:rsidRPr="003979A7">
        <w:rPr>
          <w:rFonts w:ascii="Times New Roman" w:hAnsi="Times New Roman" w:cs="Times New Roman"/>
          <w:b/>
          <w:sz w:val="24"/>
          <w:szCs w:val="24"/>
        </w:rPr>
        <w:lastRenderedPageBreak/>
        <w:t xml:space="preserve">Mirror image rule </w:t>
      </w:r>
    </w:p>
    <w:p w14:paraId="1919DEF9" w14:textId="77777777" w:rsidR="00BA12EF" w:rsidRDefault="00CE172A" w:rsidP="00BA12EF">
      <w:pPr>
        <w:spacing w:line="480" w:lineRule="auto"/>
        <w:rPr>
          <w:rFonts w:ascii="Times New Roman" w:hAnsi="Times New Roman" w:cs="Times New Roman"/>
          <w:sz w:val="24"/>
          <w:szCs w:val="24"/>
        </w:rPr>
      </w:pPr>
      <w:r w:rsidRPr="00CE172A">
        <w:rPr>
          <w:rFonts w:ascii="Times New Roman" w:hAnsi="Times New Roman" w:cs="Times New Roman"/>
          <w:sz w:val="24"/>
          <w:szCs w:val="24"/>
        </w:rPr>
        <w:t>Mirror image rule states that where a contractual offer is made, an interested party should wholly accept the terms contained therein or the offer will lapse and hence will not be binding</w:t>
      </w:r>
      <w:r>
        <w:rPr>
          <w:rStyle w:val="FootnoteReference"/>
          <w:rFonts w:ascii="Times New Roman" w:hAnsi="Times New Roman" w:cs="Times New Roman"/>
          <w:b/>
          <w:sz w:val="24"/>
          <w:szCs w:val="24"/>
        </w:rPr>
        <w:footnoteReference w:id="3"/>
      </w:r>
      <w:r w:rsidR="001E68C5">
        <w:rPr>
          <w:rFonts w:ascii="Times New Roman" w:hAnsi="Times New Roman" w:cs="Times New Roman"/>
          <w:sz w:val="24"/>
          <w:szCs w:val="24"/>
        </w:rPr>
        <w:t>. This means that the exact terms offered are and should be the exact terms accepted to create a binding contract since both parties are in agreement of what they should implement or abide by. If the offeree modifies the offer, the original terms have been set aside and a counter offer made hence mirror image rule will not apply and parties may choose to reinitiate the process again. The mirror image rule therefore can be said to incorporate the elements of a valid contract which include: offer, acceptance, unconditional acceptance among others.</w:t>
      </w:r>
      <w:r w:rsidR="00BA12EF">
        <w:rPr>
          <w:rFonts w:ascii="Times New Roman" w:hAnsi="Times New Roman" w:cs="Times New Roman"/>
          <w:sz w:val="24"/>
          <w:szCs w:val="24"/>
        </w:rPr>
        <w:t xml:space="preserve"> </w:t>
      </w:r>
    </w:p>
    <w:p w14:paraId="108BA909" w14:textId="77777777" w:rsidR="00BA12EF" w:rsidRDefault="004E4588" w:rsidP="00BA12EF">
      <w:pPr>
        <w:spacing w:line="480" w:lineRule="auto"/>
        <w:rPr>
          <w:rFonts w:ascii="Times New Roman" w:hAnsi="Times New Roman" w:cs="Times New Roman"/>
          <w:sz w:val="24"/>
          <w:szCs w:val="24"/>
        </w:rPr>
      </w:pPr>
      <w:r>
        <w:rPr>
          <w:rFonts w:ascii="Times New Roman" w:hAnsi="Times New Roman" w:cs="Times New Roman"/>
          <w:sz w:val="24"/>
          <w:szCs w:val="24"/>
        </w:rPr>
        <w:t>This rule applies to some of the following scenarios</w:t>
      </w:r>
      <w:r w:rsidR="001E68C5" w:rsidRPr="001E68C5">
        <w:rPr>
          <w:rFonts w:ascii="Times New Roman" w:hAnsi="Times New Roman" w:cs="Times New Roman"/>
          <w:sz w:val="24"/>
          <w:szCs w:val="24"/>
        </w:rPr>
        <w:t>: merchant trade where</w:t>
      </w:r>
      <w:r w:rsidR="00BA12EF">
        <w:rPr>
          <w:rFonts w:ascii="Times New Roman" w:hAnsi="Times New Roman" w:cs="Times New Roman"/>
          <w:sz w:val="24"/>
          <w:szCs w:val="24"/>
        </w:rPr>
        <w:t xml:space="preserve"> the</w:t>
      </w:r>
      <w:r w:rsidR="001E68C5" w:rsidRPr="001E68C5">
        <w:rPr>
          <w:rFonts w:ascii="Times New Roman" w:hAnsi="Times New Roman" w:cs="Times New Roman"/>
          <w:sz w:val="24"/>
          <w:szCs w:val="24"/>
        </w:rPr>
        <w:t xml:space="preserve"> </w:t>
      </w:r>
      <w:r>
        <w:rPr>
          <w:rFonts w:ascii="Times New Roman" w:hAnsi="Times New Roman" w:cs="Times New Roman"/>
          <w:sz w:val="24"/>
          <w:szCs w:val="24"/>
        </w:rPr>
        <w:t>offer contains its own terms and that the offeree should accept them</w:t>
      </w:r>
      <w:r w:rsidR="00BA12EF">
        <w:rPr>
          <w:rFonts w:ascii="Times New Roman" w:hAnsi="Times New Roman" w:cs="Times New Roman"/>
          <w:sz w:val="24"/>
          <w:szCs w:val="24"/>
        </w:rPr>
        <w:t xml:space="preserve">, </w:t>
      </w:r>
      <w:r>
        <w:rPr>
          <w:rFonts w:ascii="Times New Roman" w:hAnsi="Times New Roman" w:cs="Times New Roman"/>
          <w:sz w:val="24"/>
          <w:szCs w:val="24"/>
        </w:rPr>
        <w:t>if the offeree intends to object, they should do so within a reasonable time and where introduction of</w:t>
      </w:r>
      <w:r w:rsidR="00BA12EF" w:rsidRPr="00BA12EF">
        <w:rPr>
          <w:rFonts w:ascii="Times New Roman" w:hAnsi="Times New Roman" w:cs="Times New Roman"/>
          <w:sz w:val="24"/>
          <w:szCs w:val="24"/>
        </w:rPr>
        <w:t xml:space="preserve"> additi</w:t>
      </w:r>
      <w:r>
        <w:rPr>
          <w:rFonts w:ascii="Times New Roman" w:hAnsi="Times New Roman" w:cs="Times New Roman"/>
          <w:sz w:val="24"/>
          <w:szCs w:val="24"/>
        </w:rPr>
        <w:t>onal or different terms entirely vitiates the offer.</w:t>
      </w:r>
    </w:p>
    <w:p w14:paraId="58E0890C" w14:textId="77777777" w:rsidR="001E68C5" w:rsidRPr="001E68C5" w:rsidRDefault="00BA12EF" w:rsidP="00CE172A">
      <w:pPr>
        <w:spacing w:line="480" w:lineRule="auto"/>
        <w:rPr>
          <w:rFonts w:ascii="Times New Roman" w:hAnsi="Times New Roman" w:cs="Times New Roman"/>
          <w:sz w:val="24"/>
          <w:szCs w:val="24"/>
        </w:rPr>
      </w:pPr>
      <w:r>
        <w:rPr>
          <w:rFonts w:ascii="Times New Roman" w:hAnsi="Times New Roman" w:cs="Times New Roman"/>
          <w:sz w:val="24"/>
          <w:szCs w:val="24"/>
        </w:rPr>
        <w:t xml:space="preserve"> It also applies to offering of services like painting and renovation of a house where the quotation offered is final and modifications will vitiate the offer.</w:t>
      </w:r>
    </w:p>
    <w:p w14:paraId="38F675D7" w14:textId="77777777" w:rsidR="00912146" w:rsidRDefault="00912146" w:rsidP="003979A7">
      <w:pPr>
        <w:spacing w:line="480" w:lineRule="auto"/>
        <w:rPr>
          <w:rFonts w:ascii="Times New Roman" w:hAnsi="Times New Roman" w:cs="Times New Roman"/>
          <w:b/>
          <w:sz w:val="24"/>
          <w:szCs w:val="24"/>
        </w:rPr>
      </w:pPr>
    </w:p>
    <w:p w14:paraId="621382D5" w14:textId="77777777" w:rsidR="00912146" w:rsidRDefault="00912146" w:rsidP="003979A7">
      <w:pPr>
        <w:spacing w:line="480" w:lineRule="auto"/>
        <w:rPr>
          <w:rFonts w:ascii="Times New Roman" w:hAnsi="Times New Roman" w:cs="Times New Roman"/>
          <w:b/>
          <w:sz w:val="24"/>
          <w:szCs w:val="24"/>
        </w:rPr>
      </w:pPr>
    </w:p>
    <w:p w14:paraId="218F1B65" w14:textId="77777777" w:rsidR="00912146" w:rsidRDefault="00912146" w:rsidP="003979A7">
      <w:pPr>
        <w:spacing w:line="480" w:lineRule="auto"/>
        <w:rPr>
          <w:rFonts w:ascii="Times New Roman" w:hAnsi="Times New Roman" w:cs="Times New Roman"/>
          <w:b/>
          <w:sz w:val="24"/>
          <w:szCs w:val="24"/>
        </w:rPr>
      </w:pPr>
    </w:p>
    <w:p w14:paraId="0A1AA865" w14:textId="77777777" w:rsidR="00912146" w:rsidRDefault="00912146" w:rsidP="003979A7">
      <w:pPr>
        <w:spacing w:line="480" w:lineRule="auto"/>
        <w:rPr>
          <w:rFonts w:ascii="Times New Roman" w:hAnsi="Times New Roman" w:cs="Times New Roman"/>
          <w:b/>
          <w:sz w:val="24"/>
          <w:szCs w:val="24"/>
        </w:rPr>
      </w:pPr>
    </w:p>
    <w:p w14:paraId="3BBACEBC" w14:textId="77777777" w:rsidR="00912146" w:rsidRDefault="00912146" w:rsidP="003979A7">
      <w:pPr>
        <w:spacing w:line="480" w:lineRule="auto"/>
        <w:rPr>
          <w:rFonts w:ascii="Times New Roman" w:hAnsi="Times New Roman" w:cs="Times New Roman"/>
          <w:b/>
          <w:sz w:val="24"/>
          <w:szCs w:val="24"/>
        </w:rPr>
      </w:pPr>
    </w:p>
    <w:p w14:paraId="0899C3F0" w14:textId="77777777" w:rsidR="003979A7" w:rsidRDefault="003979A7" w:rsidP="003979A7">
      <w:pPr>
        <w:spacing w:line="480" w:lineRule="auto"/>
        <w:rPr>
          <w:rFonts w:ascii="Times New Roman" w:hAnsi="Times New Roman" w:cs="Times New Roman"/>
          <w:b/>
          <w:sz w:val="24"/>
          <w:szCs w:val="24"/>
        </w:rPr>
      </w:pPr>
      <w:r w:rsidRPr="003979A7">
        <w:rPr>
          <w:rFonts w:ascii="Times New Roman" w:hAnsi="Times New Roman" w:cs="Times New Roman"/>
          <w:b/>
          <w:sz w:val="24"/>
          <w:szCs w:val="24"/>
        </w:rPr>
        <w:lastRenderedPageBreak/>
        <w:t>PART B</w:t>
      </w:r>
    </w:p>
    <w:p w14:paraId="0DFE862A" w14:textId="77777777" w:rsidR="003979A7" w:rsidRDefault="003979A7"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AGENCY RELATIONSHIP</w:t>
      </w:r>
    </w:p>
    <w:p w14:paraId="786DA0AB" w14:textId="77777777" w:rsidR="00BE05F6" w:rsidRPr="00387E98" w:rsidRDefault="00387E98" w:rsidP="00CE172A">
      <w:pPr>
        <w:spacing w:line="480" w:lineRule="auto"/>
        <w:rPr>
          <w:rFonts w:ascii="Times New Roman" w:hAnsi="Times New Roman" w:cs="Times New Roman"/>
          <w:sz w:val="24"/>
          <w:szCs w:val="24"/>
        </w:rPr>
      </w:pPr>
      <w:r>
        <w:rPr>
          <w:rFonts w:ascii="Times New Roman" w:hAnsi="Times New Roman" w:cs="Times New Roman"/>
          <w:sz w:val="24"/>
          <w:szCs w:val="24"/>
        </w:rPr>
        <w:t>Bud is the principal in this relationship while Brody is the agent acting on behalf of Bud expressly or impliedly and hence since Brody has the authority sanctioned by Bud, Bud will be held liable for all actions of Brody as long as he authorized them.</w:t>
      </w:r>
    </w:p>
    <w:p w14:paraId="20B9AECB" w14:textId="77777777" w:rsidR="003979A7" w:rsidRDefault="00BE05F6" w:rsidP="003979A7">
      <w:pPr>
        <w:pStyle w:val="ListParagraph"/>
        <w:numPr>
          <w:ilvl w:val="0"/>
          <w:numId w:val="5"/>
        </w:numPr>
        <w:spacing w:line="480" w:lineRule="auto"/>
        <w:rPr>
          <w:rFonts w:ascii="Times New Roman" w:hAnsi="Times New Roman" w:cs="Times New Roman"/>
          <w:b/>
          <w:sz w:val="28"/>
          <w:szCs w:val="24"/>
        </w:rPr>
      </w:pPr>
      <w:r w:rsidRPr="00BE05F6">
        <w:rPr>
          <w:rFonts w:ascii="Times New Roman" w:hAnsi="Times New Roman" w:cs="Times New Roman"/>
          <w:b/>
          <w:sz w:val="28"/>
          <w:szCs w:val="24"/>
        </w:rPr>
        <w:t>Compensation of candy</w:t>
      </w:r>
      <w:r>
        <w:rPr>
          <w:rFonts w:ascii="Times New Roman" w:hAnsi="Times New Roman" w:cs="Times New Roman"/>
          <w:b/>
          <w:sz w:val="28"/>
          <w:szCs w:val="24"/>
        </w:rPr>
        <w:t>’</w:t>
      </w:r>
      <w:r w:rsidRPr="00BE05F6">
        <w:rPr>
          <w:rFonts w:ascii="Times New Roman" w:hAnsi="Times New Roman" w:cs="Times New Roman"/>
          <w:b/>
          <w:sz w:val="28"/>
          <w:szCs w:val="24"/>
        </w:rPr>
        <w:t>s store</w:t>
      </w:r>
    </w:p>
    <w:p w14:paraId="0E73602A" w14:textId="77777777" w:rsidR="00CE172A" w:rsidRPr="00BE05F6" w:rsidRDefault="00BE05F6" w:rsidP="00BE05F6">
      <w:pPr>
        <w:spacing w:line="480" w:lineRule="auto"/>
        <w:ind w:left="360"/>
        <w:rPr>
          <w:rFonts w:ascii="Times New Roman" w:hAnsi="Times New Roman" w:cs="Times New Roman"/>
          <w:sz w:val="24"/>
          <w:szCs w:val="24"/>
        </w:rPr>
      </w:pPr>
      <w:r w:rsidRPr="00BE05F6">
        <w:rPr>
          <w:rFonts w:ascii="Times New Roman" w:hAnsi="Times New Roman" w:cs="Times New Roman"/>
          <w:sz w:val="24"/>
          <w:szCs w:val="24"/>
        </w:rPr>
        <w:t>Candy is entitled to at least $200, 000 since the fair value of her store as at the time when the federa</w:t>
      </w:r>
      <w:r w:rsidR="00BA12EF">
        <w:rPr>
          <w:rFonts w:ascii="Times New Roman" w:hAnsi="Times New Roman" w:cs="Times New Roman"/>
          <w:sz w:val="24"/>
          <w:szCs w:val="24"/>
        </w:rPr>
        <w:t>l government expressed interest</w:t>
      </w:r>
      <w:r w:rsidRPr="00BE05F6">
        <w:rPr>
          <w:rFonts w:ascii="Times New Roman" w:hAnsi="Times New Roman" w:cs="Times New Roman"/>
          <w:sz w:val="24"/>
          <w:szCs w:val="24"/>
        </w:rPr>
        <w:t xml:space="preserve"> stands at that amount.</w:t>
      </w:r>
    </w:p>
    <w:p w14:paraId="7B3CEA7E" w14:textId="77777777" w:rsidR="003979A7" w:rsidRDefault="003979A7"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NEGOTIABLE INSTRUMENTS</w:t>
      </w:r>
    </w:p>
    <w:p w14:paraId="6AFCEFAA" w14:textId="77777777" w:rsidR="00CE172A" w:rsidRPr="00C61582" w:rsidRDefault="00C61582" w:rsidP="00CE172A">
      <w:pPr>
        <w:spacing w:line="480" w:lineRule="auto"/>
        <w:rPr>
          <w:rFonts w:ascii="Times New Roman" w:hAnsi="Times New Roman" w:cs="Times New Roman"/>
          <w:sz w:val="24"/>
          <w:szCs w:val="24"/>
        </w:rPr>
      </w:pPr>
      <w:r w:rsidRPr="00C61582">
        <w:rPr>
          <w:rFonts w:ascii="Times New Roman" w:hAnsi="Times New Roman" w:cs="Times New Roman"/>
          <w:sz w:val="24"/>
          <w:szCs w:val="24"/>
        </w:rPr>
        <w:t xml:space="preserve">This situation gives rise to a negotiable promissory note since </w:t>
      </w:r>
      <w:r>
        <w:rPr>
          <w:rFonts w:ascii="Times New Roman" w:hAnsi="Times New Roman" w:cs="Times New Roman"/>
          <w:sz w:val="24"/>
          <w:szCs w:val="24"/>
        </w:rPr>
        <w:t>patty, in writi</w:t>
      </w:r>
      <w:r w:rsidRPr="00C61582">
        <w:rPr>
          <w:rFonts w:ascii="Times New Roman" w:hAnsi="Times New Roman" w:cs="Times New Roman"/>
          <w:sz w:val="24"/>
          <w:szCs w:val="24"/>
        </w:rPr>
        <w:t xml:space="preserve">ng promised to pay $2,500 with 6% </w:t>
      </w:r>
      <w:r>
        <w:rPr>
          <w:rFonts w:ascii="Times New Roman" w:hAnsi="Times New Roman" w:cs="Times New Roman"/>
          <w:sz w:val="24"/>
          <w:szCs w:val="24"/>
        </w:rPr>
        <w:t>interest 30 days after the writ</w:t>
      </w:r>
      <w:r w:rsidRPr="00C61582">
        <w:rPr>
          <w:rFonts w:ascii="Times New Roman" w:hAnsi="Times New Roman" w:cs="Times New Roman"/>
          <w:sz w:val="24"/>
          <w:szCs w:val="24"/>
        </w:rPr>
        <w:t>ings were exchanged.</w:t>
      </w:r>
    </w:p>
    <w:p w14:paraId="04832B65" w14:textId="77777777" w:rsidR="003979A7" w:rsidRDefault="00917502"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Bankruptcy</w:t>
      </w:r>
    </w:p>
    <w:p w14:paraId="3724850E" w14:textId="77777777" w:rsidR="00CE172A" w:rsidRPr="00C05AD6" w:rsidRDefault="002E2E12" w:rsidP="00CE172A">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recommend chapter 7 bankruptcy since it is </w:t>
      </w:r>
      <w:proofErr w:type="gramStart"/>
      <w:r>
        <w:rPr>
          <w:rFonts w:ascii="Times New Roman" w:hAnsi="Times New Roman" w:cs="Times New Roman"/>
          <w:sz w:val="24"/>
          <w:szCs w:val="24"/>
        </w:rPr>
        <w:t>more quicker</w:t>
      </w:r>
      <w:proofErr w:type="gramEnd"/>
      <w:r>
        <w:rPr>
          <w:rFonts w:ascii="Times New Roman" w:hAnsi="Times New Roman" w:cs="Times New Roman"/>
          <w:sz w:val="24"/>
          <w:szCs w:val="24"/>
        </w:rPr>
        <w:t xml:space="preserve"> and </w:t>
      </w:r>
      <w:r w:rsidRPr="002E2E12">
        <w:rPr>
          <w:rFonts w:ascii="Times New Roman" w:hAnsi="Times New Roman" w:cs="Times New Roman"/>
          <w:sz w:val="24"/>
          <w:szCs w:val="24"/>
        </w:rPr>
        <w:t>many filers can keep</w:t>
      </w:r>
      <w:r>
        <w:rPr>
          <w:rFonts w:ascii="Times New Roman" w:hAnsi="Times New Roman" w:cs="Times New Roman"/>
          <w:sz w:val="24"/>
          <w:szCs w:val="24"/>
        </w:rPr>
        <w:t xml:space="preserve"> all or most of their property. F</w:t>
      </w:r>
      <w:r w:rsidRPr="002E2E12">
        <w:rPr>
          <w:rFonts w:ascii="Times New Roman" w:hAnsi="Times New Roman" w:cs="Times New Roman"/>
          <w:sz w:val="24"/>
          <w:szCs w:val="24"/>
        </w:rPr>
        <w:t>ilers don't pay creditors through a three- to five-yea</w:t>
      </w:r>
      <w:r>
        <w:rPr>
          <w:rFonts w:ascii="Times New Roman" w:hAnsi="Times New Roman" w:cs="Times New Roman"/>
          <w:sz w:val="24"/>
          <w:szCs w:val="24"/>
        </w:rPr>
        <w:t>r period.</w:t>
      </w:r>
    </w:p>
    <w:p w14:paraId="0F1128E1" w14:textId="77777777" w:rsidR="00917502" w:rsidRDefault="00917502"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3</w:t>
      </w:r>
      <w:r w:rsidRPr="00917502">
        <w:rPr>
          <w:rFonts w:ascii="Times New Roman" w:hAnsi="Times New Roman" w:cs="Times New Roman"/>
          <w:b/>
          <w:sz w:val="24"/>
          <w:szCs w:val="24"/>
          <w:vertAlign w:val="superscript"/>
        </w:rPr>
        <w:t>rd</w:t>
      </w:r>
      <w:r>
        <w:rPr>
          <w:rFonts w:ascii="Times New Roman" w:hAnsi="Times New Roman" w:cs="Times New Roman"/>
          <w:b/>
          <w:sz w:val="24"/>
          <w:szCs w:val="24"/>
        </w:rPr>
        <w:t xml:space="preserve"> p</w:t>
      </w:r>
      <w:r w:rsidR="00CE172A">
        <w:rPr>
          <w:rFonts w:ascii="Times New Roman" w:hAnsi="Times New Roman" w:cs="Times New Roman"/>
          <w:b/>
          <w:sz w:val="24"/>
          <w:szCs w:val="24"/>
        </w:rPr>
        <w:t>a</w:t>
      </w:r>
      <w:r>
        <w:rPr>
          <w:rFonts w:ascii="Times New Roman" w:hAnsi="Times New Roman" w:cs="Times New Roman"/>
          <w:b/>
          <w:sz w:val="24"/>
          <w:szCs w:val="24"/>
        </w:rPr>
        <w:t>rty rights</w:t>
      </w:r>
    </w:p>
    <w:p w14:paraId="2059FB75" w14:textId="77777777" w:rsidR="004123D9" w:rsidRPr="004123D9" w:rsidRDefault="004123D9" w:rsidP="00CE172A">
      <w:pPr>
        <w:spacing w:line="480" w:lineRule="auto"/>
        <w:rPr>
          <w:rFonts w:ascii="Times New Roman" w:hAnsi="Times New Roman" w:cs="Times New Roman"/>
          <w:sz w:val="24"/>
          <w:szCs w:val="24"/>
        </w:rPr>
      </w:pPr>
      <w:r>
        <w:rPr>
          <w:rFonts w:ascii="Times New Roman" w:hAnsi="Times New Roman" w:cs="Times New Roman"/>
          <w:sz w:val="24"/>
          <w:szCs w:val="24"/>
        </w:rPr>
        <w:t>Lisa possess</w:t>
      </w:r>
      <w:r w:rsidR="00C05AD6" w:rsidRPr="004123D9">
        <w:rPr>
          <w:rFonts w:ascii="Times New Roman" w:hAnsi="Times New Roman" w:cs="Times New Roman"/>
          <w:sz w:val="24"/>
          <w:szCs w:val="24"/>
        </w:rPr>
        <w:t xml:space="preserve"> </w:t>
      </w:r>
      <w:r w:rsidRPr="004123D9">
        <w:rPr>
          <w:rFonts w:ascii="Times New Roman" w:hAnsi="Times New Roman" w:cs="Times New Roman"/>
          <w:sz w:val="24"/>
          <w:szCs w:val="24"/>
        </w:rPr>
        <w:t xml:space="preserve">creditor rights and </w:t>
      </w:r>
      <w:r>
        <w:rPr>
          <w:rFonts w:ascii="Times New Roman" w:hAnsi="Times New Roman" w:cs="Times New Roman"/>
          <w:sz w:val="24"/>
          <w:szCs w:val="24"/>
        </w:rPr>
        <w:t>some of them include to put a lien</w:t>
      </w:r>
      <w:r w:rsidRPr="004123D9">
        <w:rPr>
          <w:rFonts w:ascii="Times New Roman" w:hAnsi="Times New Roman" w:cs="Times New Roman"/>
          <w:sz w:val="24"/>
          <w:szCs w:val="24"/>
        </w:rPr>
        <w:t> on a debtor's property, to effect a seizure and </w:t>
      </w:r>
      <w:hyperlink r:id="rId8" w:tooltip="Forced sale" w:history="1">
        <w:r w:rsidRPr="004123D9">
          <w:rPr>
            <w:rStyle w:val="Hyperlink"/>
            <w:rFonts w:ascii="Times New Roman" w:hAnsi="Times New Roman" w:cs="Times New Roman"/>
            <w:color w:val="auto"/>
            <w:sz w:val="24"/>
            <w:szCs w:val="24"/>
            <w:u w:val="none"/>
          </w:rPr>
          <w:t>forced sale</w:t>
        </w:r>
      </w:hyperlink>
      <w:r w:rsidRPr="004123D9">
        <w:rPr>
          <w:rFonts w:ascii="Times New Roman" w:hAnsi="Times New Roman" w:cs="Times New Roman"/>
          <w:sz w:val="24"/>
          <w:szCs w:val="24"/>
        </w:rPr>
        <w:t> of the debtor's property, to effect a </w:t>
      </w:r>
      <w:hyperlink r:id="rId9" w:tooltip="Jurisdiction" w:history="1">
        <w:r w:rsidRPr="004123D9">
          <w:rPr>
            <w:rStyle w:val="Hyperlink"/>
            <w:rFonts w:ascii="Times New Roman" w:hAnsi="Times New Roman" w:cs="Times New Roman"/>
            <w:color w:val="auto"/>
            <w:sz w:val="24"/>
            <w:szCs w:val="24"/>
            <w:u w:val="none"/>
          </w:rPr>
          <w:t>garnishment</w:t>
        </w:r>
      </w:hyperlink>
      <w:r w:rsidRPr="004123D9">
        <w:rPr>
          <w:rFonts w:ascii="Times New Roman" w:hAnsi="Times New Roman" w:cs="Times New Roman"/>
          <w:sz w:val="24"/>
          <w:szCs w:val="24"/>
        </w:rPr>
        <w:t> of the debtor's wages</w:t>
      </w:r>
      <w:r>
        <w:rPr>
          <w:rFonts w:ascii="Times New Roman" w:hAnsi="Times New Roman" w:cs="Times New Roman"/>
          <w:sz w:val="24"/>
          <w:szCs w:val="24"/>
        </w:rPr>
        <w:t>. She possesses these rights since as one of their right and a duty to the debtor, the deserve payment and hence the creditor should be left with a wide range of available options to maximize on debt collection.</w:t>
      </w:r>
    </w:p>
    <w:p w14:paraId="3710886D" w14:textId="77777777" w:rsidR="00CE172A" w:rsidRDefault="00CE172A"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Oral and written security for a loan</w:t>
      </w:r>
    </w:p>
    <w:p w14:paraId="104E9E09" w14:textId="77777777" w:rsidR="00CE172A" w:rsidRDefault="00C05AD6" w:rsidP="00C05AD6">
      <w:pPr>
        <w:spacing w:line="480" w:lineRule="auto"/>
        <w:rPr>
          <w:rFonts w:ascii="Times New Roman" w:hAnsi="Times New Roman" w:cs="Times New Roman"/>
          <w:sz w:val="24"/>
          <w:szCs w:val="24"/>
        </w:rPr>
      </w:pPr>
      <w:r>
        <w:rPr>
          <w:rFonts w:ascii="Times New Roman" w:hAnsi="Times New Roman" w:cs="Times New Roman"/>
          <w:sz w:val="24"/>
          <w:szCs w:val="24"/>
        </w:rPr>
        <w:t>Contracts are generally enforceable but certain formalities are required for them to be legally enforceable. One of the formalities if that a contract should be in writing and hence the contract agreement between Lloyd and Matilda will be enforceable against the oral contact between Lloyd and Collin.</w:t>
      </w:r>
    </w:p>
    <w:p w14:paraId="331169FB" w14:textId="77777777" w:rsidR="004123D9" w:rsidRPr="00C05AD6" w:rsidRDefault="004123D9" w:rsidP="00C05AD6">
      <w:pPr>
        <w:spacing w:line="480" w:lineRule="auto"/>
        <w:rPr>
          <w:rFonts w:ascii="Times New Roman" w:hAnsi="Times New Roman" w:cs="Times New Roman"/>
          <w:sz w:val="24"/>
          <w:szCs w:val="24"/>
        </w:rPr>
      </w:pPr>
    </w:p>
    <w:p w14:paraId="3E1B8A31" w14:textId="77777777" w:rsidR="00CE172A" w:rsidRPr="00A2638D" w:rsidRDefault="00A2638D" w:rsidP="00CE172A">
      <w:pPr>
        <w:pStyle w:val="ListParagraph"/>
        <w:numPr>
          <w:ilvl w:val="0"/>
          <w:numId w:val="5"/>
        </w:numPr>
        <w:spacing w:line="480" w:lineRule="auto"/>
        <w:rPr>
          <w:rFonts w:ascii="Times New Roman" w:hAnsi="Times New Roman" w:cs="Times New Roman"/>
          <w:b/>
          <w:sz w:val="24"/>
          <w:szCs w:val="24"/>
        </w:rPr>
      </w:pPr>
      <w:r w:rsidRPr="00A2638D">
        <w:rPr>
          <w:rFonts w:ascii="Times New Roman" w:hAnsi="Times New Roman" w:cs="Times New Roman"/>
          <w:b/>
          <w:sz w:val="24"/>
          <w:szCs w:val="24"/>
        </w:rPr>
        <w:t>Common carrier liability</w:t>
      </w:r>
    </w:p>
    <w:p w14:paraId="419142A2" w14:textId="77777777" w:rsidR="00CE172A" w:rsidRPr="00A2638D" w:rsidRDefault="00A2638D" w:rsidP="00CE172A">
      <w:pPr>
        <w:spacing w:line="480" w:lineRule="auto"/>
        <w:rPr>
          <w:rFonts w:ascii="Times New Roman" w:hAnsi="Times New Roman" w:cs="Times New Roman"/>
          <w:sz w:val="24"/>
          <w:szCs w:val="24"/>
        </w:rPr>
      </w:pPr>
      <w:r w:rsidRPr="00A2638D">
        <w:rPr>
          <w:rFonts w:ascii="Times New Roman" w:hAnsi="Times New Roman" w:cs="Times New Roman"/>
          <w:sz w:val="24"/>
          <w:szCs w:val="24"/>
        </w:rPr>
        <w:t>Common carrier can be sued for injuries for either failing to adhere</w:t>
      </w:r>
      <w:r w:rsidR="00C05AD6">
        <w:rPr>
          <w:rFonts w:ascii="Times New Roman" w:hAnsi="Times New Roman" w:cs="Times New Roman"/>
          <w:sz w:val="24"/>
          <w:szCs w:val="24"/>
        </w:rPr>
        <w:t xml:space="preserve"> to a particular regulation </w:t>
      </w:r>
      <w:r w:rsidRPr="00A2638D">
        <w:rPr>
          <w:rFonts w:ascii="Times New Roman" w:hAnsi="Times New Roman" w:cs="Times New Roman"/>
          <w:sz w:val="24"/>
          <w:szCs w:val="24"/>
        </w:rPr>
        <w:t>or failing to exercise the care and diligence that would be expected of a reasonably careful operator</w:t>
      </w:r>
      <w:r w:rsidR="00C05AD6">
        <w:rPr>
          <w:rFonts w:ascii="Times New Roman" w:hAnsi="Times New Roman" w:cs="Times New Roman"/>
          <w:sz w:val="24"/>
          <w:szCs w:val="24"/>
        </w:rPr>
        <w:t xml:space="preserve"> since </w:t>
      </w:r>
      <w:r w:rsidR="00C05AD6" w:rsidRPr="00C05AD6">
        <w:rPr>
          <w:rFonts w:ascii="Times New Roman" w:hAnsi="Times New Roman" w:cs="Times New Roman"/>
          <w:sz w:val="24"/>
          <w:szCs w:val="24"/>
        </w:rPr>
        <w:t>carriers are required to exercise the highest degree of care and diligence in the s</w:t>
      </w:r>
      <w:r w:rsidR="00C05AD6">
        <w:rPr>
          <w:rFonts w:ascii="Times New Roman" w:hAnsi="Times New Roman" w:cs="Times New Roman"/>
          <w:sz w:val="24"/>
          <w:szCs w:val="24"/>
        </w:rPr>
        <w:t>afety of their passengers and</w:t>
      </w:r>
      <w:r w:rsidR="00C05AD6" w:rsidRPr="00C05AD6">
        <w:rPr>
          <w:rFonts w:ascii="Times New Roman" w:hAnsi="Times New Roman" w:cs="Times New Roman"/>
          <w:sz w:val="24"/>
          <w:szCs w:val="24"/>
        </w:rPr>
        <w:t xml:space="preserve"> cargo</w:t>
      </w:r>
      <w:r w:rsidR="00C05AD6">
        <w:rPr>
          <w:rStyle w:val="FootnoteReference"/>
          <w:rFonts w:ascii="Times New Roman" w:hAnsi="Times New Roman" w:cs="Times New Roman"/>
          <w:sz w:val="24"/>
          <w:szCs w:val="24"/>
        </w:rPr>
        <w:footnoteReference w:id="4"/>
      </w:r>
    </w:p>
    <w:p w14:paraId="7CB6099B" w14:textId="77777777" w:rsidR="00CE172A" w:rsidRDefault="00CE172A" w:rsidP="003979A7">
      <w:pPr>
        <w:pStyle w:val="ListParagraph"/>
        <w:numPr>
          <w:ilvl w:val="0"/>
          <w:numId w:val="5"/>
        </w:numPr>
        <w:spacing w:line="480" w:lineRule="auto"/>
        <w:rPr>
          <w:rFonts w:ascii="Times New Roman" w:hAnsi="Times New Roman" w:cs="Times New Roman"/>
          <w:b/>
          <w:sz w:val="24"/>
          <w:szCs w:val="24"/>
        </w:rPr>
      </w:pPr>
      <w:r>
        <w:rPr>
          <w:rFonts w:ascii="Times New Roman" w:hAnsi="Times New Roman" w:cs="Times New Roman"/>
          <w:b/>
          <w:sz w:val="24"/>
          <w:szCs w:val="24"/>
        </w:rPr>
        <w:t>Jurisdiction of federal and state court in regard to automobile accidents</w:t>
      </w:r>
    </w:p>
    <w:p w14:paraId="6E9B6775" w14:textId="77777777" w:rsidR="002E2E12" w:rsidRPr="002E2E12" w:rsidRDefault="002E2E12" w:rsidP="002E2E12">
      <w:pPr>
        <w:spacing w:line="480" w:lineRule="auto"/>
        <w:rPr>
          <w:rFonts w:ascii="Times New Roman" w:hAnsi="Times New Roman" w:cs="Times New Roman"/>
          <w:sz w:val="24"/>
          <w:szCs w:val="24"/>
        </w:rPr>
      </w:pPr>
      <w:r w:rsidRPr="002E2E12">
        <w:rPr>
          <w:rFonts w:ascii="Times New Roman" w:hAnsi="Times New Roman" w:cs="Times New Roman"/>
          <w:sz w:val="24"/>
          <w:szCs w:val="24"/>
        </w:rPr>
        <w:t xml:space="preserve">The matter should be filed before the state court as it doesn’t exceed $75 000. </w:t>
      </w:r>
      <w:r>
        <w:rPr>
          <w:rFonts w:ascii="Times New Roman" w:hAnsi="Times New Roman" w:cs="Times New Roman"/>
          <w:sz w:val="24"/>
          <w:szCs w:val="24"/>
        </w:rPr>
        <w:t>Where the amount is controversy above</w:t>
      </w:r>
      <w:r w:rsidRPr="002E2E12">
        <w:rPr>
          <w:rFonts w:ascii="Times New Roman" w:hAnsi="Times New Roman" w:cs="Times New Roman"/>
          <w:sz w:val="24"/>
          <w:szCs w:val="24"/>
        </w:rPr>
        <w:t xml:space="preserve"> $75,000</w:t>
      </w:r>
      <w:r>
        <w:rPr>
          <w:rFonts w:ascii="Times New Roman" w:hAnsi="Times New Roman" w:cs="Times New Roman"/>
          <w:sz w:val="24"/>
          <w:szCs w:val="24"/>
        </w:rPr>
        <w:t>, federal jurisdictions will apply.</w:t>
      </w:r>
    </w:p>
    <w:sectPr w:rsidR="002E2E12" w:rsidRPr="002E2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618C" w14:textId="77777777" w:rsidR="00CD1D78" w:rsidRDefault="00CD1D78" w:rsidP="00221E1E">
      <w:pPr>
        <w:spacing w:after="0" w:line="240" w:lineRule="auto"/>
      </w:pPr>
      <w:r>
        <w:separator/>
      </w:r>
    </w:p>
  </w:endnote>
  <w:endnote w:type="continuationSeparator" w:id="0">
    <w:p w14:paraId="67C77EC2" w14:textId="77777777" w:rsidR="00CD1D78" w:rsidRDefault="00CD1D78" w:rsidP="0022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CFDB" w14:textId="77777777" w:rsidR="00CD1D78" w:rsidRDefault="00CD1D78" w:rsidP="00221E1E">
      <w:pPr>
        <w:spacing w:after="0" w:line="240" w:lineRule="auto"/>
      </w:pPr>
      <w:r>
        <w:separator/>
      </w:r>
    </w:p>
  </w:footnote>
  <w:footnote w:type="continuationSeparator" w:id="0">
    <w:p w14:paraId="7AA4EC3C" w14:textId="77777777" w:rsidR="00CD1D78" w:rsidRDefault="00CD1D78" w:rsidP="00221E1E">
      <w:pPr>
        <w:spacing w:after="0" w:line="240" w:lineRule="auto"/>
      </w:pPr>
      <w:r>
        <w:continuationSeparator/>
      </w:r>
    </w:p>
  </w:footnote>
  <w:footnote w:id="1">
    <w:p w14:paraId="30541754" w14:textId="77777777" w:rsidR="00221E1E" w:rsidRDefault="00221E1E">
      <w:pPr>
        <w:pStyle w:val="FootnoteText"/>
      </w:pPr>
      <w:r>
        <w:rPr>
          <w:rStyle w:val="FootnoteReference"/>
        </w:rPr>
        <w:footnoteRef/>
      </w:r>
      <w:r>
        <w:t xml:space="preserve"> </w:t>
      </w:r>
      <w:r w:rsidRPr="00221E1E">
        <w:t>https://www.academia.edu/27901635/Tort_Law_Negligence</w:t>
      </w:r>
    </w:p>
  </w:footnote>
  <w:footnote w:id="2">
    <w:p w14:paraId="250FB1F5" w14:textId="77777777" w:rsidR="00E0003B" w:rsidRDefault="00E0003B">
      <w:pPr>
        <w:pStyle w:val="FootnoteText"/>
      </w:pPr>
      <w:r>
        <w:rPr>
          <w:rStyle w:val="FootnoteReference"/>
        </w:rPr>
        <w:footnoteRef/>
      </w:r>
      <w:r>
        <w:t xml:space="preserve"> </w:t>
      </w:r>
      <w:r w:rsidRPr="00E0003B">
        <w:rPr>
          <w:rFonts w:hint="eastAsia"/>
        </w:rPr>
        <w:t>Kaur, D. S., &amp; Turner, C. (2020). </w:t>
      </w:r>
      <w:r w:rsidRPr="00E0003B">
        <w:rPr>
          <w:rFonts w:hint="eastAsia"/>
          <w:i/>
          <w:iCs/>
        </w:rPr>
        <w:t>Unlocking torts</w:t>
      </w:r>
      <w:r w:rsidRPr="00E0003B">
        <w:rPr>
          <w:rFonts w:hint="eastAsia"/>
        </w:rPr>
        <w:t>.</w:t>
      </w:r>
    </w:p>
  </w:footnote>
  <w:footnote w:id="3">
    <w:p w14:paraId="662ABF92" w14:textId="77777777" w:rsidR="00CE172A" w:rsidRDefault="00CE172A">
      <w:pPr>
        <w:pStyle w:val="FootnoteText"/>
      </w:pPr>
      <w:r>
        <w:rPr>
          <w:rStyle w:val="FootnoteReference"/>
        </w:rPr>
        <w:footnoteRef/>
      </w:r>
      <w:r>
        <w:t xml:space="preserve"> </w:t>
      </w:r>
      <w:r w:rsidRPr="00CE172A">
        <w:t>https://www.law.cornell.edu/wex/mirror_image_rule</w:t>
      </w:r>
    </w:p>
  </w:footnote>
  <w:footnote w:id="4">
    <w:p w14:paraId="11042D64" w14:textId="77777777" w:rsidR="00C05AD6" w:rsidRDefault="00C05AD6">
      <w:pPr>
        <w:pStyle w:val="FootnoteText"/>
      </w:pPr>
      <w:r>
        <w:rPr>
          <w:rStyle w:val="FootnoteReference"/>
        </w:rPr>
        <w:footnoteRef/>
      </w:r>
      <w:r>
        <w:t xml:space="preserve"> </w:t>
      </w:r>
      <w:hyperlink r:id="rId1" w:history="1">
        <w:r w:rsidRPr="00813547">
          <w:rPr>
            <w:rStyle w:val="Hyperlink"/>
          </w:rPr>
          <w:t>https://repository.law.umich.edu/cgi/viewcontent.cgi?article=2287&amp;context=articles</w:t>
        </w:r>
      </w:hyperlink>
      <w:r>
        <w:t xml:space="preserve"> (</w:t>
      </w:r>
      <w:r w:rsidRPr="00C05AD6">
        <w:t>The Liability of the Common Carrier as Determined by the Recent Decisions of the United States Supreme Court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6269"/>
    <w:multiLevelType w:val="hybridMultilevel"/>
    <w:tmpl w:val="6C740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4D8D"/>
    <w:multiLevelType w:val="hybridMultilevel"/>
    <w:tmpl w:val="533C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D277D"/>
    <w:multiLevelType w:val="hybridMultilevel"/>
    <w:tmpl w:val="B4FCC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12641"/>
    <w:multiLevelType w:val="hybridMultilevel"/>
    <w:tmpl w:val="4532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B2CE2"/>
    <w:multiLevelType w:val="multilevel"/>
    <w:tmpl w:val="41E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212A1"/>
    <w:multiLevelType w:val="hybridMultilevel"/>
    <w:tmpl w:val="FD46F5AC"/>
    <w:lvl w:ilvl="0" w:tplc="6CAA2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B3"/>
    <w:rsid w:val="001E68C5"/>
    <w:rsid w:val="00221E1E"/>
    <w:rsid w:val="002E2E12"/>
    <w:rsid w:val="0036237F"/>
    <w:rsid w:val="00387E98"/>
    <w:rsid w:val="003979A7"/>
    <w:rsid w:val="004123D9"/>
    <w:rsid w:val="00457357"/>
    <w:rsid w:val="004E4588"/>
    <w:rsid w:val="00604FDB"/>
    <w:rsid w:val="00645175"/>
    <w:rsid w:val="007257CD"/>
    <w:rsid w:val="008F0641"/>
    <w:rsid w:val="00912146"/>
    <w:rsid w:val="00917502"/>
    <w:rsid w:val="00972B35"/>
    <w:rsid w:val="00A063F0"/>
    <w:rsid w:val="00A2638D"/>
    <w:rsid w:val="00BA12EF"/>
    <w:rsid w:val="00BD7CB3"/>
    <w:rsid w:val="00BE05F6"/>
    <w:rsid w:val="00C05AD6"/>
    <w:rsid w:val="00C61582"/>
    <w:rsid w:val="00C72F1E"/>
    <w:rsid w:val="00CB13BF"/>
    <w:rsid w:val="00CD1D78"/>
    <w:rsid w:val="00CE172A"/>
    <w:rsid w:val="00D21688"/>
    <w:rsid w:val="00E0003B"/>
    <w:rsid w:val="00EC6961"/>
    <w:rsid w:val="00F6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72F8"/>
  <w15:docId w15:val="{28D77984-17B8-4BFE-A671-E2B4B4E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1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E1E"/>
    <w:rPr>
      <w:sz w:val="20"/>
      <w:szCs w:val="20"/>
    </w:rPr>
  </w:style>
  <w:style w:type="character" w:styleId="FootnoteReference">
    <w:name w:val="footnote reference"/>
    <w:basedOn w:val="DefaultParagraphFont"/>
    <w:uiPriority w:val="99"/>
    <w:semiHidden/>
    <w:unhideWhenUsed/>
    <w:rsid w:val="00221E1E"/>
    <w:rPr>
      <w:vertAlign w:val="superscript"/>
    </w:rPr>
  </w:style>
  <w:style w:type="paragraph" w:styleId="ListParagraph">
    <w:name w:val="List Paragraph"/>
    <w:basedOn w:val="Normal"/>
    <w:uiPriority w:val="34"/>
    <w:qFormat/>
    <w:rsid w:val="00D21688"/>
    <w:pPr>
      <w:ind w:left="720"/>
      <w:contextualSpacing/>
    </w:pPr>
  </w:style>
  <w:style w:type="character" w:customStyle="1" w:styleId="Heading1Char">
    <w:name w:val="Heading 1 Char"/>
    <w:basedOn w:val="DefaultParagraphFont"/>
    <w:link w:val="Heading1"/>
    <w:uiPriority w:val="9"/>
    <w:rsid w:val="003623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05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4112">
      <w:bodyDiv w:val="1"/>
      <w:marLeft w:val="0"/>
      <w:marRight w:val="0"/>
      <w:marTop w:val="0"/>
      <w:marBottom w:val="0"/>
      <w:divBdr>
        <w:top w:val="none" w:sz="0" w:space="0" w:color="auto"/>
        <w:left w:val="none" w:sz="0" w:space="0" w:color="auto"/>
        <w:bottom w:val="none" w:sz="0" w:space="0" w:color="auto"/>
        <w:right w:val="none" w:sz="0" w:space="0" w:color="auto"/>
      </w:divBdr>
    </w:div>
    <w:div w:id="1015230277">
      <w:bodyDiv w:val="1"/>
      <w:marLeft w:val="0"/>
      <w:marRight w:val="0"/>
      <w:marTop w:val="0"/>
      <w:marBottom w:val="0"/>
      <w:divBdr>
        <w:top w:val="none" w:sz="0" w:space="0" w:color="auto"/>
        <w:left w:val="none" w:sz="0" w:space="0" w:color="auto"/>
        <w:bottom w:val="none" w:sz="0" w:space="0" w:color="auto"/>
        <w:right w:val="none" w:sz="0" w:space="0" w:color="auto"/>
      </w:divBdr>
    </w:div>
    <w:div w:id="1927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rced_sa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Garnish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pository.law.umich.edu/cgi/viewcontent.cgi?article=2287&amp;context=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1636-2433-4693-BC5B-9451B4EB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David Mua</cp:lastModifiedBy>
  <cp:revision>2</cp:revision>
  <dcterms:created xsi:type="dcterms:W3CDTF">2021-05-18T07:29:00Z</dcterms:created>
  <dcterms:modified xsi:type="dcterms:W3CDTF">2021-05-18T07:29:00Z</dcterms:modified>
</cp:coreProperties>
</file>